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 Notes and Citations</w:t>
      </w:r>
    </w:p>
    <w:p w:rsidP="00000000" w:rsidRPr="00000000" w:rsidR="00000000" w:rsidDel="00000000" w:rsidRDefault="00000000">
      <w:pPr>
        <w:contextualSpacing w:val="0"/>
        <w:jc w:val="center"/>
      </w:pPr>
      <w:r w:rsidRPr="00000000" w:rsidR="00000000" w:rsidDel="00000000">
        <w:rPr>
          <w:rtl w:val="0"/>
        </w:rPr>
      </w:r>
    </w:p>
    <w:tbl>
      <w:tblPr>
        <w:bidiVisual w:val="0"/>
        <w:tblW w:w="885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808"/>
        <w:gridCol w:w="3471"/>
        <w:gridCol w:w="3577"/>
        <w:gridCol w:w="-72"/>
        <w:gridCol w:w="-72"/>
        <w:gridCol w:w="-72"/>
      </w:tblGrid>
      <w:tr>
        <w:tc>
          <w:tcPr>
            <w:tcMar>
              <w:top w:w="100.0" w:type="dxa"/>
              <w:left w:w="108.0" w:type="dxa"/>
              <w:bottom w:w="100.0" w:type="dxa"/>
              <w:right w:w="108.0" w:type="dxa"/>
            </w:tcMar>
          </w:tcPr>
          <w:p w:rsidP="00000000" w:rsidRPr="00000000" w:rsidR="00000000" w:rsidDel="00000000" w:rsidRDefault="00000000">
            <w:pPr>
              <w:contextualSpacing w:val="0"/>
              <w:jc w:val="center"/>
            </w:pPr>
            <w:r w:rsidRPr="00000000" w:rsidR="00000000" w:rsidDel="00000000">
              <w:rPr>
                <w:b w:val="1"/>
                <w:rtl w:val="0"/>
              </w:rPr>
              <w:t xml:space="preserve">Topic</w:t>
            </w:r>
          </w:p>
        </w:tc>
        <w:tc>
          <w:tcPr>
            <w:tcMar>
              <w:top w:w="100.0" w:type="dxa"/>
              <w:left w:w="108.0" w:type="dxa"/>
              <w:bottom w:w="100.0" w:type="dxa"/>
              <w:right w:w="108.0" w:type="dxa"/>
            </w:tcMar>
          </w:tcPr>
          <w:p w:rsidP="00000000" w:rsidRPr="00000000" w:rsidR="00000000" w:rsidDel="00000000" w:rsidRDefault="00000000">
            <w:pPr>
              <w:contextualSpacing w:val="0"/>
              <w:jc w:val="center"/>
            </w:pPr>
            <w:r w:rsidRPr="00000000" w:rsidR="00000000" w:rsidDel="00000000">
              <w:rPr>
                <w:b w:val="1"/>
                <w:rtl w:val="0"/>
              </w:rPr>
              <w:t xml:space="preserve">Notes </w:t>
            </w:r>
          </w:p>
        </w:tc>
        <w:tc>
          <w:tcPr>
            <w:tcMar>
              <w:top w:w="100.0" w:type="dxa"/>
              <w:left w:w="108.0" w:type="dxa"/>
              <w:bottom w:w="100.0" w:type="dxa"/>
              <w:right w:w="108.0" w:type="dxa"/>
            </w:tcMar>
          </w:tcPr>
          <w:p w:rsidP="00000000" w:rsidRPr="00000000" w:rsidR="00000000" w:rsidDel="00000000" w:rsidRDefault="00000000">
            <w:pPr>
              <w:contextualSpacing w:val="0"/>
              <w:jc w:val="center"/>
            </w:pPr>
            <w:r w:rsidRPr="00000000" w:rsidR="00000000" w:rsidDel="00000000">
              <w:rPr>
                <w:b w:val="1"/>
                <w:rtl w:val="0"/>
              </w:rPr>
              <w:t xml:space="preserve">Citation</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HOLOCAUST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Murder of 6 million Jews by the Nazis</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http://www.ushmm.org/learn</w:t>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1933-1938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Hitler in power. Citizens lost all freedom to do what they wanted to do. First concentration camps.  Imprisoned </w:t>
            </w:r>
            <w:r w:rsidRPr="00000000" w:rsidR="00000000" w:rsidDel="00000000">
              <w:rPr>
                <w:rtl w:val="0"/>
              </w:rPr>
              <w:t xml:space="preserve">political opponents, homosexuals, Jehovah’s Witnesses, and others classified as “dangerous. Nazis told false information and made over 400 rules that limited freedom</w:t>
            </w:r>
          </w:p>
          <w:p w:rsidP="00000000" w:rsidRPr="00000000" w:rsidR="00000000" w:rsidDel="00000000" w:rsidRDefault="00000000">
            <w:pPr>
              <w:contextualSpacing w:val="0"/>
            </w:pPr>
            <w:r w:rsidRPr="00000000" w:rsidR="00000000" w:rsidDel="00000000">
              <w:rPr>
                <w:rtl w:val="0"/>
              </w:rPr>
              <w:t xml:space="preserve">Dachau—More than 28,000 people died in Dachau.  More than 188,000 prisoners were in Dachau  Only concentration camp open from before the war to the end of the war. (12 years)</w:t>
            </w:r>
          </w:p>
          <w:p w:rsidP="00000000" w:rsidRPr="00000000" w:rsidR="00000000" w:rsidDel="00000000" w:rsidRDefault="00000000">
            <w:pPr>
              <w:contextualSpacing w:val="0"/>
            </w:pPr>
            <w:r w:rsidRPr="00000000" w:rsidR="00000000" w:rsidDel="00000000">
              <w:rPr>
                <w:rtl w:val="0"/>
              </w:rPr>
              <w:t xml:space="preserve">Hitler limits number of Jews in schools.  Teachers taught students that Jews were inferior.  German Jewish parents were forced to put their children in private schools.   </w:t>
            </w:r>
          </w:p>
          <w:p w:rsidP="00000000" w:rsidRPr="00000000" w:rsidR="00000000" w:rsidDel="00000000" w:rsidRDefault="00000000">
            <w:pPr>
              <w:contextualSpacing w:val="0"/>
            </w:pPr>
            <w:r w:rsidRPr="00000000" w:rsidR="00000000" w:rsidDel="00000000">
              <w:rPr>
                <w:rtl w:val="0"/>
              </w:rPr>
              <w:t xml:space="preserve">Kristallnacht—destroyed churches, and businesses.  People were killed in the uprising.  Hitler was hoping Jews would leave the country.</w:t>
            </w:r>
          </w:p>
          <w:p w:rsidP="00000000" w:rsidRPr="00000000" w:rsidR="00000000" w:rsidDel="00000000" w:rsidRDefault="00000000">
            <w:pPr>
              <w:contextualSpacing w:val="0"/>
            </w:pPr>
            <w:r w:rsidRPr="00000000" w:rsidR="00000000" w:rsidDel="00000000">
              <w:rPr>
                <w:rtl w:val="0"/>
              </w:rPr>
              <w:t xml:space="preserve">Final Solution: Plan to wipe out the Jewish population.  Genocide=mass destruction of Jews Final Solution happened in steps.  When the war started Germany overtook the Polish Government and put Polish people in ghettos where thy did not have enough food, they were crowded and lived in unsanitary conditions.  1941  mobile killing units killed many Jews and Hitler began to send people to concentration camps </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Alinka was five years old when the Germans invaded her city. 265,000 People were packed in apartments on 73 streets. This happened November 15th through  the 17th. Thousands of Jews died of starvation through  november 15th through the 17th.  Alinka ’s Grandfather was highly involved in the community. July 1942 the Germans took Jews to gas chambers and murdered them at death camps. Nothing is known about Alinka and her family after they were forced to live in gehto houses and were cut from the world.</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b w:val="1"/>
                <w:rtl w:val="0"/>
              </w:rPr>
              <w:t xml:space="preserve">                              </w:t>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walston_period_3_notes-1.docx</dc:title>
</cp:coreProperties>
</file>